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FE" w:rsidRDefault="00C627FE">
      <w:bookmarkStart w:id="0" w:name="_GoBack"/>
      <w:bookmarkEnd w:id="0"/>
    </w:p>
    <w:p w:rsidR="00F0564D" w:rsidRPr="00F0564D" w:rsidRDefault="00E76F65" w:rsidP="00F0564D">
      <w:pPr>
        <w:jc w:val="center"/>
        <w:rPr>
          <w:b/>
          <w:sz w:val="8"/>
          <w:szCs w:val="8"/>
        </w:rPr>
      </w:pPr>
      <w:r>
        <w:rPr>
          <w:b/>
          <w:sz w:val="44"/>
          <w:szCs w:val="44"/>
        </w:rPr>
        <w:t>S</w:t>
      </w:r>
      <w:r w:rsidR="00F0564D" w:rsidRPr="00F0564D">
        <w:rPr>
          <w:b/>
          <w:sz w:val="44"/>
          <w:szCs w:val="44"/>
        </w:rPr>
        <w:t>amarbejdet mellem TR og AMR</w:t>
      </w:r>
      <w:r w:rsidR="00F0564D">
        <w:rPr>
          <w:b/>
          <w:sz w:val="44"/>
          <w:szCs w:val="44"/>
        </w:rPr>
        <w:br/>
      </w:r>
    </w:p>
    <w:tbl>
      <w:tblPr>
        <w:tblStyle w:val="Tabel-Gitter"/>
        <w:tblW w:w="0" w:type="auto"/>
        <w:tblLook w:val="04A0" w:firstRow="1" w:lastRow="0" w:firstColumn="1" w:lastColumn="0" w:noHBand="0" w:noVBand="1"/>
      </w:tblPr>
      <w:tblGrid>
        <w:gridCol w:w="4814"/>
        <w:gridCol w:w="4814"/>
      </w:tblGrid>
      <w:tr w:rsidR="00F0564D" w:rsidTr="00F0564D">
        <w:tc>
          <w:tcPr>
            <w:tcW w:w="4814" w:type="dxa"/>
          </w:tcPr>
          <w:p w:rsidR="00F0564D" w:rsidRPr="00F0564D" w:rsidRDefault="00F0564D" w:rsidP="00F0564D">
            <w:pPr>
              <w:rPr>
                <w:sz w:val="28"/>
                <w:szCs w:val="28"/>
              </w:rPr>
            </w:pPr>
          </w:p>
          <w:p w:rsidR="00F0564D" w:rsidRPr="00F0564D" w:rsidRDefault="00F0564D" w:rsidP="00F0564D">
            <w:pPr>
              <w:rPr>
                <w:b/>
                <w:sz w:val="28"/>
                <w:szCs w:val="28"/>
              </w:rPr>
            </w:pPr>
            <w:r w:rsidRPr="00F0564D">
              <w:rPr>
                <w:b/>
                <w:sz w:val="28"/>
                <w:szCs w:val="28"/>
              </w:rPr>
              <w:t>Gråzone 1: Arbejdspres</w:t>
            </w:r>
          </w:p>
          <w:p w:rsidR="00F0564D" w:rsidRPr="00F0564D" w:rsidRDefault="00F0564D" w:rsidP="00F0564D">
            <w:pPr>
              <w:rPr>
                <w:sz w:val="28"/>
                <w:szCs w:val="28"/>
              </w:rPr>
            </w:pPr>
          </w:p>
          <w:p w:rsidR="00F0564D" w:rsidRPr="00F0564D" w:rsidRDefault="00F0564D" w:rsidP="00F0564D">
            <w:pPr>
              <w:rPr>
                <w:sz w:val="28"/>
                <w:szCs w:val="28"/>
              </w:rPr>
            </w:pPr>
            <w:r w:rsidRPr="00F0564D">
              <w:rPr>
                <w:sz w:val="28"/>
                <w:szCs w:val="28"/>
              </w:rPr>
              <w:t>Det er en hård og presset tid med mange syge og mange ekstraopgaver. Alle føler de trækker et stort læs. To gange på samme uge hører du kommentaren: ”</w:t>
            </w:r>
            <w:r>
              <w:rPr>
                <w:sz w:val="28"/>
                <w:szCs w:val="28"/>
              </w:rPr>
              <w:t>J</w:t>
            </w:r>
            <w:r w:rsidRPr="00F0564D">
              <w:rPr>
                <w:sz w:val="28"/>
                <w:szCs w:val="28"/>
              </w:rPr>
              <w:t>eg orker ikke mere. Nu er det vist snart min tur til at lægge mig syg”.</w:t>
            </w:r>
          </w:p>
          <w:p w:rsidR="00F0564D" w:rsidRPr="00F0564D" w:rsidRDefault="00F0564D">
            <w:pPr>
              <w:rPr>
                <w:sz w:val="28"/>
                <w:szCs w:val="28"/>
              </w:rPr>
            </w:pPr>
          </w:p>
        </w:tc>
        <w:tc>
          <w:tcPr>
            <w:tcW w:w="4814" w:type="dxa"/>
          </w:tcPr>
          <w:p w:rsidR="00F0564D" w:rsidRPr="00F0564D" w:rsidRDefault="00F0564D" w:rsidP="00F0564D">
            <w:pPr>
              <w:rPr>
                <w:sz w:val="28"/>
                <w:szCs w:val="28"/>
              </w:rPr>
            </w:pPr>
          </w:p>
          <w:p w:rsidR="00F0564D" w:rsidRPr="00F0564D" w:rsidRDefault="00F0564D" w:rsidP="00F0564D">
            <w:pPr>
              <w:rPr>
                <w:b/>
                <w:sz w:val="28"/>
                <w:szCs w:val="28"/>
              </w:rPr>
            </w:pPr>
            <w:r w:rsidRPr="00F0564D">
              <w:rPr>
                <w:b/>
                <w:sz w:val="28"/>
                <w:szCs w:val="28"/>
              </w:rPr>
              <w:t xml:space="preserve">Gråzone 2: </w:t>
            </w:r>
            <w:r w:rsidR="00E76F65">
              <w:rPr>
                <w:b/>
                <w:sz w:val="28"/>
                <w:szCs w:val="28"/>
              </w:rPr>
              <w:t>Sygefravær</w:t>
            </w:r>
          </w:p>
          <w:p w:rsidR="00F0564D" w:rsidRPr="00F0564D" w:rsidRDefault="00F0564D" w:rsidP="00F0564D">
            <w:pPr>
              <w:rPr>
                <w:sz w:val="28"/>
                <w:szCs w:val="28"/>
              </w:rPr>
            </w:pPr>
          </w:p>
          <w:p w:rsidR="00F0564D" w:rsidRPr="00F0564D" w:rsidRDefault="00E76F65" w:rsidP="00F0564D">
            <w:pPr>
              <w:rPr>
                <w:sz w:val="28"/>
                <w:szCs w:val="28"/>
              </w:rPr>
            </w:pPr>
            <w:r>
              <w:rPr>
                <w:sz w:val="28"/>
                <w:szCs w:val="28"/>
              </w:rPr>
              <w:t>D</w:t>
            </w:r>
            <w:r w:rsidRPr="00F0564D">
              <w:rPr>
                <w:sz w:val="28"/>
                <w:szCs w:val="28"/>
              </w:rPr>
              <w:t>er er en stigning i korttidsfraværet.</w:t>
            </w:r>
            <w:r>
              <w:rPr>
                <w:sz w:val="28"/>
                <w:szCs w:val="28"/>
              </w:rPr>
              <w:t xml:space="preserve"> </w:t>
            </w:r>
            <w:r w:rsidR="000055F2">
              <w:rPr>
                <w:sz w:val="28"/>
                <w:szCs w:val="28"/>
              </w:rPr>
              <w:t xml:space="preserve">Flere taler om infektioner. </w:t>
            </w:r>
            <w:r w:rsidR="00F0564D" w:rsidRPr="00F0564D">
              <w:rPr>
                <w:sz w:val="28"/>
                <w:szCs w:val="28"/>
              </w:rPr>
              <w:t xml:space="preserve">I har længe haft et stort fokus på faglig kvalitet og effektivisering. Folk virker pressede og trætte. Et par af de gamle kolleger klager over, at den gamle ånd er væk. </w:t>
            </w:r>
          </w:p>
          <w:p w:rsidR="00F0564D" w:rsidRPr="00F0564D" w:rsidRDefault="00F0564D">
            <w:pPr>
              <w:rPr>
                <w:sz w:val="28"/>
                <w:szCs w:val="28"/>
              </w:rPr>
            </w:pPr>
          </w:p>
        </w:tc>
      </w:tr>
      <w:tr w:rsidR="00F0564D" w:rsidTr="00F0564D">
        <w:tc>
          <w:tcPr>
            <w:tcW w:w="4814" w:type="dxa"/>
          </w:tcPr>
          <w:p w:rsidR="00F0564D" w:rsidRPr="00F0564D" w:rsidRDefault="00F0564D" w:rsidP="00F0564D">
            <w:pPr>
              <w:rPr>
                <w:sz w:val="28"/>
                <w:szCs w:val="28"/>
              </w:rPr>
            </w:pPr>
          </w:p>
          <w:p w:rsidR="00F0564D" w:rsidRPr="00F0564D" w:rsidRDefault="00F0564D" w:rsidP="00F0564D">
            <w:pPr>
              <w:rPr>
                <w:b/>
                <w:sz w:val="28"/>
                <w:szCs w:val="28"/>
              </w:rPr>
            </w:pPr>
            <w:r w:rsidRPr="00F0564D">
              <w:rPr>
                <w:b/>
                <w:sz w:val="28"/>
                <w:szCs w:val="28"/>
              </w:rPr>
              <w:t>Gråzone 3: Mobning</w:t>
            </w:r>
          </w:p>
          <w:p w:rsidR="00F0564D" w:rsidRPr="00F0564D" w:rsidRDefault="00F0564D" w:rsidP="00F0564D">
            <w:pPr>
              <w:rPr>
                <w:sz w:val="28"/>
                <w:szCs w:val="28"/>
              </w:rPr>
            </w:pPr>
          </w:p>
          <w:p w:rsidR="00F0564D" w:rsidRPr="00F0564D" w:rsidRDefault="00F0564D" w:rsidP="00F0564D">
            <w:pPr>
              <w:rPr>
                <w:sz w:val="28"/>
                <w:szCs w:val="28"/>
              </w:rPr>
            </w:pPr>
            <w:r>
              <w:rPr>
                <w:sz w:val="28"/>
                <w:szCs w:val="28"/>
              </w:rPr>
              <w:t>De</w:t>
            </w:r>
            <w:r w:rsidRPr="00F0564D">
              <w:rPr>
                <w:sz w:val="28"/>
                <w:szCs w:val="28"/>
              </w:rPr>
              <w:t>n netop gennemført</w:t>
            </w:r>
            <w:r>
              <w:rPr>
                <w:sz w:val="28"/>
                <w:szCs w:val="28"/>
              </w:rPr>
              <w:t xml:space="preserve">e </w:t>
            </w:r>
            <w:r w:rsidRPr="00F0564D">
              <w:rPr>
                <w:sz w:val="28"/>
                <w:szCs w:val="28"/>
              </w:rPr>
              <w:t xml:space="preserve">trivselsmåling viser, at flere </w:t>
            </w:r>
            <w:r>
              <w:rPr>
                <w:sz w:val="28"/>
                <w:szCs w:val="28"/>
              </w:rPr>
              <w:t>kolleger</w:t>
            </w:r>
            <w:r w:rsidRPr="00F0564D">
              <w:rPr>
                <w:sz w:val="28"/>
                <w:szCs w:val="28"/>
              </w:rPr>
              <w:t xml:space="preserve"> </w:t>
            </w:r>
            <w:r>
              <w:rPr>
                <w:sz w:val="28"/>
                <w:szCs w:val="28"/>
              </w:rPr>
              <w:t xml:space="preserve">føler sig udsat for mobning. </w:t>
            </w:r>
            <w:r w:rsidR="00DD231F">
              <w:rPr>
                <w:sz w:val="28"/>
                <w:szCs w:val="28"/>
              </w:rPr>
              <w:t>Der har inden været småkonflikter i forskellige teams og uenighed om, hvordan opgaven skal løses.</w:t>
            </w:r>
          </w:p>
          <w:p w:rsidR="00F0564D" w:rsidRPr="00F0564D" w:rsidRDefault="00F0564D">
            <w:pPr>
              <w:rPr>
                <w:sz w:val="28"/>
                <w:szCs w:val="28"/>
              </w:rPr>
            </w:pPr>
          </w:p>
        </w:tc>
        <w:tc>
          <w:tcPr>
            <w:tcW w:w="4814" w:type="dxa"/>
          </w:tcPr>
          <w:p w:rsidR="00F0564D" w:rsidRPr="00F0564D" w:rsidRDefault="00F0564D" w:rsidP="00F0564D">
            <w:pPr>
              <w:rPr>
                <w:sz w:val="28"/>
                <w:szCs w:val="28"/>
              </w:rPr>
            </w:pPr>
          </w:p>
          <w:p w:rsidR="00F0564D" w:rsidRPr="00F0564D" w:rsidRDefault="00F0564D" w:rsidP="00F0564D">
            <w:pPr>
              <w:rPr>
                <w:b/>
                <w:sz w:val="28"/>
                <w:szCs w:val="28"/>
              </w:rPr>
            </w:pPr>
            <w:r w:rsidRPr="00F0564D">
              <w:rPr>
                <w:b/>
                <w:sz w:val="28"/>
                <w:szCs w:val="28"/>
              </w:rPr>
              <w:t xml:space="preserve">Gråzone 4: </w:t>
            </w:r>
            <w:r>
              <w:rPr>
                <w:b/>
                <w:sz w:val="28"/>
                <w:szCs w:val="28"/>
              </w:rPr>
              <w:t>S</w:t>
            </w:r>
            <w:r w:rsidRPr="00F0564D">
              <w:rPr>
                <w:b/>
                <w:sz w:val="28"/>
                <w:szCs w:val="28"/>
              </w:rPr>
              <w:t>kånehensyn</w:t>
            </w:r>
          </w:p>
          <w:p w:rsidR="00F0564D" w:rsidRPr="00F0564D" w:rsidRDefault="00F0564D" w:rsidP="00F0564D">
            <w:pPr>
              <w:rPr>
                <w:sz w:val="28"/>
                <w:szCs w:val="28"/>
              </w:rPr>
            </w:pPr>
          </w:p>
          <w:p w:rsidR="00F0564D" w:rsidRPr="00F0564D" w:rsidRDefault="00F0564D" w:rsidP="00F0564D">
            <w:pPr>
              <w:rPr>
                <w:sz w:val="28"/>
                <w:szCs w:val="28"/>
              </w:rPr>
            </w:pPr>
            <w:r w:rsidRPr="00F0564D">
              <w:rPr>
                <w:sz w:val="28"/>
                <w:szCs w:val="28"/>
              </w:rPr>
              <w:t>En del kolleger har efter aftale med Leder en række skånehensyn. Disse hensyn betyder, at du selv og de resterende kolleger skal tage flere trælse og tunge opgaver. Kollegerne er begyndt at spørge ind til, om det nu også kan være rimeligt.</w:t>
            </w:r>
          </w:p>
          <w:p w:rsidR="00F0564D" w:rsidRPr="00F0564D" w:rsidRDefault="00F0564D">
            <w:pPr>
              <w:rPr>
                <w:sz w:val="28"/>
                <w:szCs w:val="28"/>
              </w:rPr>
            </w:pPr>
          </w:p>
        </w:tc>
      </w:tr>
      <w:tr w:rsidR="00F0564D" w:rsidTr="00F0564D">
        <w:tc>
          <w:tcPr>
            <w:tcW w:w="4814" w:type="dxa"/>
          </w:tcPr>
          <w:p w:rsidR="00F0564D" w:rsidRPr="00F0564D" w:rsidRDefault="00F0564D" w:rsidP="00F0564D">
            <w:pPr>
              <w:rPr>
                <w:sz w:val="28"/>
                <w:szCs w:val="28"/>
              </w:rPr>
            </w:pPr>
          </w:p>
          <w:p w:rsidR="00F0564D" w:rsidRPr="00F0564D" w:rsidRDefault="00F0564D" w:rsidP="00F0564D">
            <w:pPr>
              <w:rPr>
                <w:b/>
                <w:sz w:val="28"/>
                <w:szCs w:val="28"/>
              </w:rPr>
            </w:pPr>
            <w:r w:rsidRPr="00F0564D">
              <w:rPr>
                <w:b/>
                <w:sz w:val="28"/>
                <w:szCs w:val="28"/>
              </w:rPr>
              <w:t>Gråzone 5: Forandringer</w:t>
            </w:r>
          </w:p>
          <w:p w:rsidR="00F0564D" w:rsidRPr="00F0564D" w:rsidRDefault="00F0564D" w:rsidP="00F0564D">
            <w:pPr>
              <w:rPr>
                <w:sz w:val="28"/>
                <w:szCs w:val="28"/>
              </w:rPr>
            </w:pPr>
          </w:p>
          <w:p w:rsidR="00F0564D" w:rsidRPr="00F0564D" w:rsidRDefault="00F0564D" w:rsidP="00F0564D">
            <w:pPr>
              <w:rPr>
                <w:sz w:val="28"/>
                <w:szCs w:val="28"/>
              </w:rPr>
            </w:pPr>
            <w:r w:rsidRPr="00F0564D">
              <w:rPr>
                <w:sz w:val="28"/>
                <w:szCs w:val="28"/>
              </w:rPr>
              <w:t>I står overfor en større organisationsændring. Rygterne om, hvad der skal ske, går, og stemningen på arbejdspladsen er præget negativt af det. En kollega giver udtryk for, at nogen da må gå ind i det, for ”det er da i den grad psykisk arbejdsmiljø det der!”.</w:t>
            </w:r>
          </w:p>
          <w:p w:rsidR="00F0564D" w:rsidRPr="00F0564D" w:rsidRDefault="00F0564D">
            <w:pPr>
              <w:rPr>
                <w:sz w:val="28"/>
                <w:szCs w:val="28"/>
              </w:rPr>
            </w:pPr>
          </w:p>
        </w:tc>
        <w:tc>
          <w:tcPr>
            <w:tcW w:w="4814" w:type="dxa"/>
          </w:tcPr>
          <w:p w:rsidR="00F0564D" w:rsidRPr="00F0564D" w:rsidRDefault="00F0564D">
            <w:pPr>
              <w:rPr>
                <w:sz w:val="28"/>
                <w:szCs w:val="28"/>
              </w:rPr>
            </w:pPr>
          </w:p>
          <w:p w:rsidR="00F0564D" w:rsidRPr="00F0564D" w:rsidRDefault="00F0564D">
            <w:pPr>
              <w:rPr>
                <w:b/>
                <w:sz w:val="28"/>
                <w:szCs w:val="28"/>
              </w:rPr>
            </w:pPr>
            <w:r w:rsidRPr="00F0564D">
              <w:rPr>
                <w:b/>
                <w:sz w:val="28"/>
                <w:szCs w:val="28"/>
              </w:rPr>
              <w:t>Gråzone 6: Frit valg</w:t>
            </w:r>
          </w:p>
        </w:tc>
      </w:tr>
    </w:tbl>
    <w:p w:rsidR="00231F1A" w:rsidRDefault="00231F1A"/>
    <w:sectPr w:rsidR="00231F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17"/>
    <w:rsid w:val="000055F2"/>
    <w:rsid w:val="00007BA5"/>
    <w:rsid w:val="00061C92"/>
    <w:rsid w:val="00191936"/>
    <w:rsid w:val="001950B1"/>
    <w:rsid w:val="00231F1A"/>
    <w:rsid w:val="002B5069"/>
    <w:rsid w:val="00507842"/>
    <w:rsid w:val="00721598"/>
    <w:rsid w:val="00762228"/>
    <w:rsid w:val="007B5917"/>
    <w:rsid w:val="00911E58"/>
    <w:rsid w:val="00C627FE"/>
    <w:rsid w:val="00C8010F"/>
    <w:rsid w:val="00CF7837"/>
    <w:rsid w:val="00DD231F"/>
    <w:rsid w:val="00E76F65"/>
    <w:rsid w:val="00F05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7C60F-A429-44CF-A523-218BE567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5917"/>
    <w:rPr>
      <w:color w:val="0563C1" w:themeColor="hyperlink"/>
      <w:u w:val="single"/>
    </w:rPr>
  </w:style>
  <w:style w:type="character" w:customStyle="1" w:styleId="UnresolvedMention">
    <w:name w:val="Unresolved Mention"/>
    <w:basedOn w:val="Standardskrifttypeiafsnit"/>
    <w:uiPriority w:val="99"/>
    <w:semiHidden/>
    <w:unhideWhenUsed/>
    <w:rsid w:val="007B5917"/>
    <w:rPr>
      <w:color w:val="605E5C"/>
      <w:shd w:val="clear" w:color="auto" w:fill="E1DFDD"/>
    </w:rPr>
  </w:style>
  <w:style w:type="table" w:styleId="Tabel-Gitter">
    <w:name w:val="Table Grid"/>
    <w:basedOn w:val="Tabel-Normal"/>
    <w:uiPriority w:val="39"/>
    <w:rsid w:val="00F0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4262-96C4-4F6C-9636-66EE7921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1144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Cabi</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Poulsen</dc:creator>
  <cp:keywords/>
  <dc:description/>
  <cp:lastModifiedBy>Malene Nørgård Jensen</cp:lastModifiedBy>
  <cp:revision>2</cp:revision>
  <cp:lastPrinted>2021-11-26T11:37:00Z</cp:lastPrinted>
  <dcterms:created xsi:type="dcterms:W3CDTF">2022-06-10T08:15:00Z</dcterms:created>
  <dcterms:modified xsi:type="dcterms:W3CDTF">2022-06-10T08:15:00Z</dcterms:modified>
</cp:coreProperties>
</file>